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309" w:rsidRPr="00901309" w:rsidRDefault="00220FD9" w:rsidP="00BC68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901309">
        <w:rPr>
          <w:sz w:val="24"/>
          <w:szCs w:val="24"/>
        </w:rPr>
        <w:t xml:space="preserve">     </w:t>
      </w:r>
      <w:r w:rsidR="00901309" w:rsidRPr="00901309">
        <w:rPr>
          <w:sz w:val="24"/>
          <w:szCs w:val="24"/>
        </w:rPr>
        <w:t xml:space="preserve">                      </w:t>
      </w:r>
      <w:r w:rsidR="00901309" w:rsidRPr="00901309">
        <w:rPr>
          <w:rFonts w:ascii="Arial" w:hAnsi="Arial" w:cs="Arial"/>
          <w:sz w:val="24"/>
          <w:szCs w:val="24"/>
        </w:rPr>
        <w:t xml:space="preserve">Załącznik nr </w:t>
      </w:r>
      <w:r w:rsidR="00E40735">
        <w:rPr>
          <w:rFonts w:ascii="Arial" w:hAnsi="Arial" w:cs="Arial"/>
          <w:sz w:val="24"/>
          <w:szCs w:val="24"/>
        </w:rPr>
        <w:t>2</w:t>
      </w:r>
      <w:r w:rsidR="00901309" w:rsidRPr="00901309">
        <w:rPr>
          <w:rFonts w:ascii="Arial" w:hAnsi="Arial" w:cs="Arial"/>
          <w:sz w:val="24"/>
          <w:szCs w:val="24"/>
        </w:rPr>
        <w:t xml:space="preserve"> do SWZ</w:t>
      </w:r>
    </w:p>
    <w:p w:rsidR="00220FD9" w:rsidRPr="00901309" w:rsidRDefault="00BC684C" w:rsidP="00BC684C">
      <w:pPr>
        <w:spacing w:after="0" w:line="240" w:lineRule="auto"/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901309" w:rsidRPr="00901309">
        <w:rPr>
          <w:rFonts w:ascii="Arial" w:hAnsi="Arial" w:cs="Arial"/>
          <w:sz w:val="24"/>
          <w:szCs w:val="24"/>
        </w:rPr>
        <w:t xml:space="preserve">Nr sprawy </w:t>
      </w:r>
      <w:r w:rsidR="00223494">
        <w:rPr>
          <w:rFonts w:ascii="Arial" w:hAnsi="Arial" w:cs="Arial"/>
          <w:sz w:val="24"/>
          <w:szCs w:val="24"/>
        </w:rPr>
        <w:t>1</w:t>
      </w:r>
      <w:bookmarkStart w:id="0" w:name="_GoBack"/>
      <w:bookmarkEnd w:id="0"/>
      <w:r w:rsidR="00901309" w:rsidRPr="00901309">
        <w:rPr>
          <w:rFonts w:ascii="Arial" w:hAnsi="Arial" w:cs="Arial"/>
          <w:sz w:val="24"/>
          <w:szCs w:val="24"/>
        </w:rPr>
        <w:t>/ZDR/2022</w:t>
      </w:r>
    </w:p>
    <w:p w:rsidR="00220FD9" w:rsidRDefault="00220FD9" w:rsidP="00220FD9">
      <w:pPr>
        <w:jc w:val="center"/>
        <w:rPr>
          <w:b/>
          <w:sz w:val="24"/>
          <w:szCs w:val="24"/>
        </w:rPr>
      </w:pPr>
    </w:p>
    <w:p w:rsidR="00220FD9" w:rsidRPr="002F3E38" w:rsidRDefault="00901309" w:rsidP="00220FD9">
      <w:pPr>
        <w:jc w:val="center"/>
        <w:rPr>
          <w:rFonts w:ascii="Arial" w:hAnsi="Arial" w:cs="Arial"/>
          <w:b/>
          <w:sz w:val="24"/>
          <w:szCs w:val="24"/>
        </w:rPr>
      </w:pPr>
      <w:r w:rsidRPr="00901309">
        <w:rPr>
          <w:rFonts w:ascii="Arial" w:hAnsi="Arial" w:cs="Arial"/>
          <w:b/>
          <w:sz w:val="24"/>
          <w:szCs w:val="24"/>
        </w:rPr>
        <w:t>OPIS PRZEDMIOTU ZAMÓWIENIA</w:t>
      </w:r>
    </w:p>
    <w:p w:rsidR="002F3E38" w:rsidRDefault="002F3E38" w:rsidP="00220FD9">
      <w:pPr>
        <w:rPr>
          <w:rFonts w:ascii="Arial" w:hAnsi="Arial" w:cs="Arial"/>
          <w:b/>
          <w:sz w:val="24"/>
          <w:szCs w:val="24"/>
          <w:u w:val="single"/>
        </w:rPr>
      </w:pPr>
    </w:p>
    <w:p w:rsidR="00711982" w:rsidRPr="005330A8" w:rsidRDefault="00711982" w:rsidP="00711982">
      <w:pPr>
        <w:rPr>
          <w:b/>
          <w:sz w:val="24"/>
          <w:szCs w:val="24"/>
          <w:u w:val="single"/>
        </w:rPr>
      </w:pPr>
      <w:r w:rsidRPr="005330A8">
        <w:rPr>
          <w:rFonts w:ascii="Arial" w:hAnsi="Arial" w:cs="Arial"/>
          <w:b/>
          <w:sz w:val="24"/>
          <w:szCs w:val="24"/>
          <w:u w:val="single"/>
        </w:rPr>
        <w:t>OPATRUNEK HEMOSTATYCZNY</w:t>
      </w:r>
      <w:r w:rsidRPr="005330A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( część nr 1 poz. 2, (opcja) poz. 1)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Zastosowanie: tamowanie zagrażających życiu krwotoków o średniej i dużej intensywności krwawienia, w szczególności z ran głębokich i krwotoków tętniczych przez żołnierzy przeszkolonych w zakresie udzielania pierwszej pomocy według procedur ratownictwa w warunkach taktycznych określonych w aktualnych wytycznych TCCC.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Wysoka efektywność hemostatyczna.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Natychmiastowa gotowość do użycia.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 xml:space="preserve">Bezpieczeństwo stosowania: 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brak efektów ubocznych występujących przy stosowaniu zagrażających zdrowiu (w szczególności brak lub ograniczona reakcja egzotermiczna);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środek hemostatyczny opatrunku nie jest wchłaniany przez organizm;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łatwy do usunięcia (opatrunek nie przykleja się do rany).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Forma opatrunku: nierozpuszczalna gaza z dodatkiem niezbędnej ilości środka hemostatycznego (tj. chitosan, zeolit, kaolin), szerokość 6÷10 cm</w:t>
      </w:r>
      <w:r>
        <w:rPr>
          <w:rFonts w:ascii="Arial" w:hAnsi="Arial" w:cs="Arial"/>
        </w:rPr>
        <w:br/>
      </w:r>
      <w:r w:rsidRPr="00D44213">
        <w:rPr>
          <w:rFonts w:ascii="Arial" w:hAnsi="Arial" w:cs="Arial"/>
        </w:rPr>
        <w:t>i długość 3÷4 m. Dopuszczalna jest długość gazy minimum 100 cm</w:t>
      </w:r>
      <w:r>
        <w:rPr>
          <w:rFonts w:ascii="Arial" w:hAnsi="Arial" w:cs="Arial"/>
        </w:rPr>
        <w:br/>
      </w:r>
      <w:r w:rsidRPr="00D44213">
        <w:rPr>
          <w:rFonts w:ascii="Arial" w:hAnsi="Arial" w:cs="Arial"/>
        </w:rPr>
        <w:t>z dodatkiem środka hemostatycznego w ilości minimum 8 g.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Opatrunek sterylny.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Opatrunek złożony w formie „Z” w opakowaniu.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Opakowanie wodoodporne, łatwe do otwierania (posiadające nacięcia ułatwiające otwieranie). Preferowane jest opakowanie podciśnieniowe.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Opakowanie w ciemnym kolorze: zielonym, oliwkowym, brązowym lub szarym.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Przechowywanie: nie wymaga specjalnych warunków przechowywania, utrzymywana jest stabilność fizykochemiczna w różnych warunkach atmosferycznych.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Rekomendacja CoTCCC (Komitetu Tactical Combat Casaulty Care).</w:t>
      </w:r>
    </w:p>
    <w:p w:rsidR="00711982" w:rsidRPr="00D44213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Instrukcja stosowania w języku polskim na opakowaniu (zalecane są piktogramy użycia).</w:t>
      </w:r>
    </w:p>
    <w:p w:rsidR="00711982" w:rsidRDefault="00711982" w:rsidP="00711982">
      <w:pPr>
        <w:pStyle w:val="Tekstpodstawowy"/>
        <w:numPr>
          <w:ilvl w:val="0"/>
          <w:numId w:val="2"/>
        </w:numPr>
        <w:tabs>
          <w:tab w:val="clear" w:pos="1637"/>
        </w:tabs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Okres ważności minimum 5 lat.</w:t>
      </w:r>
    </w:p>
    <w:p w:rsidR="00711982" w:rsidRDefault="00711982" w:rsidP="00220FD9">
      <w:pPr>
        <w:rPr>
          <w:rFonts w:ascii="Arial" w:hAnsi="Arial" w:cs="Arial"/>
        </w:rPr>
      </w:pPr>
    </w:p>
    <w:p w:rsidR="00711982" w:rsidRPr="005330A8" w:rsidRDefault="00711982" w:rsidP="00711982">
      <w:pPr>
        <w:pStyle w:val="Tekstpodstawowy"/>
        <w:suppressAutoHyphens w:val="0"/>
        <w:spacing w:after="0" w:line="280" w:lineRule="exact"/>
        <w:ind w:right="-64"/>
        <w:rPr>
          <w:rFonts w:ascii="Arial" w:hAnsi="Arial" w:cs="Arial"/>
          <w:b/>
          <w:u w:val="single"/>
        </w:rPr>
      </w:pPr>
      <w:r w:rsidRPr="005330A8">
        <w:rPr>
          <w:rFonts w:ascii="Arial" w:hAnsi="Arial" w:cs="Arial"/>
          <w:b/>
          <w:u w:val="single"/>
        </w:rPr>
        <w:t xml:space="preserve">OPATRUNEK INDYWIDULANY </w:t>
      </w:r>
      <w:r>
        <w:rPr>
          <w:rFonts w:ascii="Arial" w:hAnsi="Arial" w:cs="Arial"/>
          <w:b/>
          <w:u w:val="single"/>
        </w:rPr>
        <w:t xml:space="preserve">(OSOBISTY) – </w:t>
      </w:r>
      <w:r w:rsidRPr="00B12FE3">
        <w:rPr>
          <w:rFonts w:asciiTheme="minorHAnsi" w:eastAsiaTheme="minorHAnsi" w:hAnsiTheme="minorHAnsi" w:cstheme="minorBidi"/>
          <w:b/>
          <w:u w:val="single"/>
          <w:lang w:eastAsia="en-US"/>
        </w:rPr>
        <w:t>(część nr 1 poz</w:t>
      </w:r>
      <w:r>
        <w:rPr>
          <w:rFonts w:asciiTheme="minorHAnsi" w:eastAsiaTheme="minorHAnsi" w:hAnsiTheme="minorHAnsi" w:cstheme="minorBidi"/>
          <w:b/>
          <w:u w:val="single"/>
          <w:lang w:eastAsia="en-US"/>
        </w:rPr>
        <w:t>.</w:t>
      </w:r>
      <w:r w:rsidRPr="00B12FE3">
        <w:rPr>
          <w:rFonts w:asciiTheme="minorHAnsi" w:eastAsiaTheme="minorHAnsi" w:hAnsiTheme="minorHAnsi" w:cstheme="minorBidi"/>
          <w:b/>
          <w:u w:val="single"/>
          <w:lang w:eastAsia="en-US"/>
        </w:rPr>
        <w:t xml:space="preserve"> 2</w:t>
      </w:r>
      <w:r>
        <w:rPr>
          <w:rFonts w:asciiTheme="minorHAnsi" w:eastAsiaTheme="minorHAnsi" w:hAnsiTheme="minorHAnsi" w:cstheme="minorBidi"/>
          <w:b/>
          <w:u w:val="single"/>
          <w:lang w:eastAsia="en-US"/>
        </w:rPr>
        <w:t>2, (opcja) poz. 2)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  <w:bCs/>
          <w:shd w:val="clear" w:color="auto" w:fill="FFFF00"/>
        </w:rPr>
      </w:pPr>
      <w:r w:rsidRPr="00D44213">
        <w:rPr>
          <w:rFonts w:ascii="Arial" w:hAnsi="Arial" w:cs="Arial"/>
          <w:bCs/>
        </w:rPr>
        <w:t>Zastosowanie: tamowanie krwotoków i opatrywanie ran.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Forma opatrunku: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elastyczny bandaż o szerokości 10</w:t>
      </w:r>
      <w:r w:rsidRPr="00D44213">
        <w:rPr>
          <w:rFonts w:ascii="Arial" w:hAnsi="Arial" w:cs="Arial"/>
          <w:color w:val="FF0000"/>
        </w:rPr>
        <w:t xml:space="preserve"> </w:t>
      </w:r>
      <w:r w:rsidRPr="00D44213">
        <w:rPr>
          <w:rFonts w:ascii="Arial" w:hAnsi="Arial" w:cs="Arial"/>
        </w:rPr>
        <w:t>cm ±10%;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 xml:space="preserve">wyposażony w jeden (nieruchomy) lub dwa tampony/kompresy (nieruchomy i ruchomy); 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wyposażony w element z tworzywa sztucznego zamocowany do bandaża ułatwiający zakładanie opatrunku jedną ręką, zmianę kierunku bandażowania oraz pełniący funkcję bezpośredniego ucisku na ranę po założeniu opatrunku;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lastRenderedPageBreak/>
        <w:t>wyposażony w zapinkę z tworzywa sztucznego uniemożliwiającą przypadkowe rozwinięcie bandaża.</w:t>
      </w:r>
    </w:p>
    <w:p w:rsidR="00711982" w:rsidRPr="00D44213" w:rsidRDefault="00711982" w:rsidP="00711982">
      <w:pPr>
        <w:spacing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Dopuszczalny jest opatrunek: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elastyczny bandaż o szerokości 10 cm ±10%;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wyposażony w jeden (nieruchomy) tampon/kompres w formie kieszeni, wewnątrz której znajduje się gaza wypełniająca oraz plastikowa folia;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gaza wypełniająca o wysokiej chłonności, może służyć do dodatkowego zaopatrzenia rany postrzałowej;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plastikowa folia może służyć m.in. jako opatrunek okluzyjny na rany postrzałowe klatki piersiowej;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wyposażony w element z tworzywa sztucznego zamocowany do bandaża pełniący funkcję bezpośredniego ucisku na ranę po założeniu opatrunku;</w:t>
      </w:r>
    </w:p>
    <w:p w:rsidR="00711982" w:rsidRPr="00D44213" w:rsidRDefault="00711982" w:rsidP="00711982">
      <w:pPr>
        <w:numPr>
          <w:ilvl w:val="0"/>
          <w:numId w:val="1"/>
        </w:numPr>
        <w:tabs>
          <w:tab w:val="clear" w:pos="720"/>
        </w:tabs>
        <w:spacing w:after="0" w:line="280" w:lineRule="exact"/>
        <w:ind w:left="1418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 xml:space="preserve">wyposażony w zapinkę z tworzywa sztucznego uniemożliwiającą przypadkowe rozwinięcie bandaża oraz taśmy samozaczepne – haczyk („rzep”) umieszczone na bandażu uniemożliwiające przypadkowe rozwinięcie bandaża oraz stabilizujące założony opatrunek. 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Bandaż koloru zielonego, oliwkowego, szarego lub piaskowego. Tampon/kompres w kolorze białym.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Opatrunek sterylny.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Opatrunek zwinięty w rolkę w opakowaniu.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Opakowanie wodoodporne, podciśnieniowe, łatwe do otwierania (posiadające nacięcia ułatwiające otwieranie).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 xml:space="preserve">Opakowanie w ciemnym kolorze: zielonym, oliwkowym, brązowym lub szarym. </w:t>
      </w:r>
    </w:p>
    <w:p w:rsidR="00711982" w:rsidRPr="00D44213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Instrukcja stosowania w języku polskim na opakowaniu (zalecane są piktogramy użycia).</w:t>
      </w:r>
    </w:p>
    <w:p w:rsidR="00711982" w:rsidRPr="002A59CF" w:rsidRDefault="00711982" w:rsidP="00711982">
      <w:pPr>
        <w:numPr>
          <w:ilvl w:val="0"/>
          <w:numId w:val="7"/>
        </w:numPr>
        <w:tabs>
          <w:tab w:val="clear" w:pos="720"/>
        </w:tabs>
        <w:spacing w:after="0" w:line="280" w:lineRule="exact"/>
        <w:ind w:left="993"/>
        <w:jc w:val="both"/>
        <w:rPr>
          <w:rFonts w:ascii="Arial" w:hAnsi="Arial" w:cs="Arial"/>
          <w:bCs/>
          <w:shd w:val="clear" w:color="auto" w:fill="FFFF00"/>
        </w:rPr>
      </w:pPr>
      <w:r w:rsidRPr="00D44213">
        <w:rPr>
          <w:rFonts w:ascii="Arial" w:hAnsi="Arial" w:cs="Arial"/>
        </w:rPr>
        <w:t>Okres ważności minimum 8 lat. Dopuszczalny jest okres ważności minimum 5 lat.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</w:p>
    <w:p w:rsidR="00711982" w:rsidRDefault="00711982" w:rsidP="00711982">
      <w:pPr>
        <w:pStyle w:val="Tekstpodstawowy"/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OPATRUNEK BRZUSZNY FCP-09 </w:t>
      </w:r>
      <w:r w:rsidRPr="00B12FE3">
        <w:rPr>
          <w:rFonts w:asciiTheme="minorHAnsi" w:eastAsiaTheme="minorHAnsi" w:hAnsiTheme="minorHAnsi" w:cstheme="minorBidi"/>
          <w:b/>
          <w:u w:val="single"/>
          <w:lang w:eastAsia="en-US"/>
        </w:rPr>
        <w:t>(część nr 1</w:t>
      </w:r>
      <w:r>
        <w:rPr>
          <w:rFonts w:asciiTheme="minorHAnsi" w:eastAsiaTheme="minorHAnsi" w:hAnsiTheme="minorHAnsi" w:cstheme="minorBidi"/>
          <w:b/>
          <w:u w:val="single"/>
          <w:lang w:eastAsia="en-US"/>
        </w:rPr>
        <w:t xml:space="preserve"> </w:t>
      </w:r>
      <w:r w:rsidRPr="00B12FE3">
        <w:rPr>
          <w:rFonts w:asciiTheme="minorHAnsi" w:eastAsiaTheme="minorHAnsi" w:hAnsiTheme="minorHAnsi" w:cstheme="minorBidi"/>
          <w:b/>
          <w:u w:val="single"/>
          <w:lang w:eastAsia="en-US"/>
        </w:rPr>
        <w:t>poz. 6</w:t>
      </w:r>
      <w:r>
        <w:rPr>
          <w:rFonts w:ascii="Arial" w:hAnsi="Arial" w:cs="Arial"/>
          <w:b/>
          <w:u w:val="single"/>
        </w:rPr>
        <w:t>)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  <w:b/>
          <w:u w:val="single"/>
        </w:rPr>
      </w:pP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Wielofunkcyjny bandaż taktyczny. Opatrunek na rany jamy brzusznej / rozległe rany po amputacji. 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>Zawartość: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>- nieprzywierająca do rany podściółka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>- plastikowa osłona (opcjonalnie)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>- element Stop-N-Go</w:t>
      </w:r>
    </w:p>
    <w:p w:rsidR="00711982" w:rsidRPr="00F56D3C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>- zapinka mocująca</w:t>
      </w:r>
    </w:p>
    <w:p w:rsidR="00711982" w:rsidRDefault="00711982" w:rsidP="00711982">
      <w:pPr>
        <w:pStyle w:val="Tekstpodstawowy"/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</w:p>
    <w:p w:rsidR="00711982" w:rsidRDefault="00711982" w:rsidP="00711982">
      <w:pPr>
        <w:pStyle w:val="Tekstpodstawowy"/>
        <w:suppressAutoHyphens w:val="0"/>
        <w:spacing w:after="0" w:line="280" w:lineRule="exact"/>
        <w:ind w:left="993" w:right="-64"/>
        <w:jc w:val="both"/>
        <w:rPr>
          <w:rFonts w:ascii="Arial" w:hAnsi="Arial" w:cs="Arial"/>
        </w:rPr>
      </w:pPr>
    </w:p>
    <w:p w:rsidR="00711982" w:rsidRPr="00B12FE3" w:rsidRDefault="00711982" w:rsidP="00711982">
      <w:pPr>
        <w:pStyle w:val="Tekstpodstawowy"/>
        <w:suppressAutoHyphens w:val="0"/>
        <w:spacing w:after="0" w:line="280" w:lineRule="exact"/>
        <w:ind w:right="-64"/>
        <w:jc w:val="both"/>
        <w:rPr>
          <w:rFonts w:asciiTheme="minorHAnsi" w:eastAsiaTheme="minorHAnsi" w:hAnsiTheme="minorHAnsi" w:cstheme="minorBidi"/>
          <w:b/>
          <w:u w:val="single"/>
          <w:lang w:eastAsia="en-US"/>
        </w:rPr>
      </w:pPr>
      <w:r w:rsidRPr="005330A8">
        <w:rPr>
          <w:rFonts w:ascii="Arial" w:hAnsi="Arial" w:cs="Arial"/>
          <w:b/>
          <w:u w:val="single"/>
        </w:rPr>
        <w:t>RURKA NOSOWO – GARDŁOWA 7,5 MM</w:t>
      </w:r>
      <w:r>
        <w:rPr>
          <w:rFonts w:ascii="Arial" w:hAnsi="Arial" w:cs="Arial"/>
          <w:b/>
          <w:u w:val="single"/>
        </w:rPr>
        <w:t xml:space="preserve"> </w:t>
      </w:r>
      <w:r>
        <w:rPr>
          <w:rFonts w:asciiTheme="minorHAnsi" w:eastAsiaTheme="minorHAnsi" w:hAnsiTheme="minorHAnsi" w:cstheme="minorBidi"/>
          <w:b/>
          <w:u w:val="single"/>
          <w:lang w:eastAsia="en-US"/>
        </w:rPr>
        <w:t>(część nr 1 poz. 23, (opcja) poz. 3</w:t>
      </w:r>
      <w:r w:rsidRPr="00B12FE3">
        <w:rPr>
          <w:rFonts w:asciiTheme="minorHAnsi" w:eastAsiaTheme="minorHAnsi" w:hAnsiTheme="minorHAnsi" w:cstheme="minorBidi"/>
          <w:b/>
          <w:u w:val="single"/>
          <w:lang w:eastAsia="en-US"/>
        </w:rPr>
        <w:t xml:space="preserve">) 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Zastosowanie: udrażnianie górnych dróg oddechowych przez żołnierzy przeszkolonych w zakresie udzielania pierwszej pomocy według procedur ratownictwa w warunkach taktycznych określonych w aktualnych wytycznych TCCC.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Wykonana z miękkiego PVC medycznego przezroczystego lub w kolorze zielonym, silikonowana, bez lateksu i ftalanów.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Rozmiary: średnica wewnętrzna 7,5 mm (FR 30).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Kształt anatomicznej krzywizny kanału nosowo-gardłowego.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Posiadająca ogranicznik chroniący przed wsunięciem w głąb dróg oddechowych i pozycjonujący rurkę.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lastRenderedPageBreak/>
        <w:t>Wyrób sterylny.</w:t>
      </w:r>
    </w:p>
    <w:p w:rsidR="00711982" w:rsidRPr="00D44213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 xml:space="preserve">Opakowanie chroniące przed zamoczeniem </w:t>
      </w:r>
      <w:r w:rsidRPr="00D44213">
        <w:rPr>
          <w:rFonts w:ascii="Arial" w:hAnsi="Arial" w:cs="Arial"/>
          <w:bCs/>
        </w:rPr>
        <w:t>typu foliowo-papierowe, łatwe do otwierania,</w:t>
      </w:r>
      <w:r w:rsidRPr="00D44213">
        <w:rPr>
          <w:rFonts w:ascii="Arial" w:hAnsi="Arial" w:cs="Arial"/>
        </w:rPr>
        <w:t xml:space="preserve"> umożliwiające dowolne formowanie kształtu, o wymiarach maksymalnie 10 cm x 22 cm.</w:t>
      </w:r>
    </w:p>
    <w:p w:rsidR="00711982" w:rsidRPr="00C23348" w:rsidRDefault="00711982" w:rsidP="00711982">
      <w:pPr>
        <w:numPr>
          <w:ilvl w:val="0"/>
          <w:numId w:val="3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D44213">
        <w:rPr>
          <w:rFonts w:ascii="Arial" w:hAnsi="Arial" w:cs="Arial"/>
        </w:rPr>
        <w:t>Okres ważności rurki nosowo-gardłowej minimum 5 lat.</w:t>
      </w: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  <w:b/>
          <w:u w:val="single"/>
        </w:rPr>
      </w:pPr>
    </w:p>
    <w:p w:rsidR="00711982" w:rsidRPr="00B12FE3" w:rsidRDefault="00711982" w:rsidP="00711982">
      <w:pPr>
        <w:spacing w:after="0" w:line="280" w:lineRule="exact"/>
        <w:jc w:val="both"/>
        <w:rPr>
          <w:b/>
          <w:sz w:val="24"/>
          <w:szCs w:val="24"/>
          <w:u w:val="single"/>
        </w:rPr>
      </w:pPr>
      <w:r>
        <w:rPr>
          <w:rFonts w:ascii="Arial" w:hAnsi="Arial" w:cs="Arial"/>
          <w:b/>
          <w:u w:val="single"/>
        </w:rPr>
        <w:t>PRZYRZĄD</w:t>
      </w:r>
      <w:r w:rsidRPr="002A59CF">
        <w:rPr>
          <w:rFonts w:ascii="Arial" w:hAnsi="Arial" w:cs="Arial"/>
          <w:b/>
          <w:u w:val="single"/>
        </w:rPr>
        <w:t xml:space="preserve"> DO PRZETACZANIA PŁYNÓW INFUZYJNYCH</w:t>
      </w:r>
      <w:r>
        <w:rPr>
          <w:rFonts w:ascii="Arial" w:hAnsi="Arial" w:cs="Arial"/>
          <w:b/>
          <w:u w:val="single"/>
        </w:rPr>
        <w:t xml:space="preserve"> (</w:t>
      </w:r>
      <w:r>
        <w:rPr>
          <w:b/>
          <w:sz w:val="24"/>
          <w:szCs w:val="24"/>
          <w:u w:val="single"/>
        </w:rPr>
        <w:t>część nr 1 poz.</w:t>
      </w:r>
      <w:r w:rsidRPr="00B12FE3">
        <w:rPr>
          <w:b/>
          <w:sz w:val="24"/>
          <w:szCs w:val="24"/>
          <w:u w:val="single"/>
        </w:rPr>
        <w:t xml:space="preserve"> 17)</w:t>
      </w:r>
    </w:p>
    <w:p w:rsidR="00711982" w:rsidRPr="00B12FE3" w:rsidRDefault="00711982" w:rsidP="00711982">
      <w:pPr>
        <w:spacing w:after="0" w:line="280" w:lineRule="exact"/>
        <w:jc w:val="both"/>
        <w:rPr>
          <w:b/>
          <w:sz w:val="24"/>
          <w:szCs w:val="24"/>
          <w:u w:val="single"/>
        </w:rPr>
      </w:pP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Przyrząd do grawitacyjnego podawania płynów infuzyjnych. Jednorazowego użytku, sterylny, niepirogenny, nietoksyczny, opakowanie jednostkowe typu blister-pack, długość drenu 150cm, zakończenie drenu luer-lock.</w:t>
      </w: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</w:rPr>
      </w:pP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</w:rPr>
      </w:pP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  <w:b/>
          <w:u w:val="single"/>
        </w:rPr>
      </w:pPr>
      <w:r w:rsidRPr="00C35A48">
        <w:rPr>
          <w:rFonts w:ascii="Arial" w:hAnsi="Arial" w:cs="Arial"/>
          <w:b/>
          <w:u w:val="single"/>
        </w:rPr>
        <w:t>OKLEINA DO WENFLONÓW 6CM X 8 CM</w:t>
      </w:r>
      <w:r>
        <w:rPr>
          <w:rFonts w:ascii="Arial" w:hAnsi="Arial" w:cs="Arial"/>
          <w:b/>
          <w:u w:val="single"/>
        </w:rPr>
        <w:t xml:space="preserve"> </w:t>
      </w:r>
      <w:r>
        <w:rPr>
          <w:b/>
          <w:sz w:val="24"/>
          <w:szCs w:val="24"/>
          <w:u w:val="single"/>
        </w:rPr>
        <w:t>(część nr 1</w:t>
      </w:r>
      <w:r w:rsidRPr="00B12FE3">
        <w:rPr>
          <w:b/>
          <w:sz w:val="24"/>
          <w:szCs w:val="24"/>
          <w:u w:val="single"/>
        </w:rPr>
        <w:t xml:space="preserve"> poz. 18)</w:t>
      </w: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  <w:b/>
          <w:u w:val="single"/>
        </w:rPr>
      </w:pP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Opatrunek do mocowania kaniuli , włóknowy, samoprzylepny, jałowy 6cm x 8 cm</w:t>
      </w: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</w:rPr>
      </w:pP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</w:rPr>
      </w:pP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  <w:b/>
          <w:u w:val="single"/>
        </w:rPr>
      </w:pPr>
      <w:r w:rsidRPr="0079479D">
        <w:rPr>
          <w:rFonts w:ascii="Arial" w:hAnsi="Arial" w:cs="Arial"/>
          <w:b/>
          <w:u w:val="single"/>
        </w:rPr>
        <w:t>WKŁAD APTECZKI SAMOCHODOWEK DIN 13164</w:t>
      </w:r>
      <w:r>
        <w:rPr>
          <w:rFonts w:ascii="Arial" w:hAnsi="Arial" w:cs="Arial"/>
          <w:b/>
          <w:u w:val="single"/>
        </w:rPr>
        <w:t xml:space="preserve"> </w:t>
      </w:r>
      <w:r>
        <w:rPr>
          <w:b/>
          <w:sz w:val="24"/>
          <w:szCs w:val="24"/>
          <w:u w:val="single"/>
        </w:rPr>
        <w:t>(część nr 1 poz. 30</w:t>
      </w:r>
      <w:r w:rsidRPr="00B12FE3">
        <w:rPr>
          <w:b/>
          <w:sz w:val="24"/>
          <w:szCs w:val="24"/>
          <w:u w:val="single"/>
        </w:rPr>
        <w:t>)</w:t>
      </w:r>
    </w:p>
    <w:p w:rsidR="00711982" w:rsidRDefault="00711982" w:rsidP="00711982">
      <w:pPr>
        <w:spacing w:after="0" w:line="280" w:lineRule="exact"/>
        <w:jc w:val="both"/>
        <w:rPr>
          <w:rFonts w:ascii="Arial" w:hAnsi="Arial" w:cs="Arial"/>
          <w:b/>
          <w:u w:val="single"/>
        </w:rPr>
      </w:pPr>
    </w:p>
    <w:p w:rsidR="00711982" w:rsidRPr="00360E1B" w:rsidRDefault="00711982" w:rsidP="00711982">
      <w:pPr>
        <w:spacing w:after="0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Wkład DIN 13164 służy jako uzupełnienie do apteczek pierwszej pomocy. Posiada podstawowe wyposażenie zgodne z normami UE służące do udzielania pierwszej pomocy. </w:t>
      </w:r>
    </w:p>
    <w:p w:rsidR="00711982" w:rsidRPr="00360E1B" w:rsidRDefault="00711982" w:rsidP="00711982">
      <w:pPr>
        <w:spacing w:before="30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Cechy:</w:t>
      </w:r>
    </w:p>
    <w:p w:rsidR="00711982" w:rsidRPr="00360E1B" w:rsidRDefault="00711982" w:rsidP="0071198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Wyroby medyczne oznakowane znakiem CE.</w:t>
      </w:r>
    </w:p>
    <w:p w:rsidR="00711982" w:rsidRPr="00360E1B" w:rsidRDefault="00711982" w:rsidP="0071198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Termin ważności produktów sterylnych wynosi 5 lat.</w:t>
      </w:r>
    </w:p>
    <w:p w:rsidR="00711982" w:rsidRPr="00360E1B" w:rsidRDefault="00711982" w:rsidP="0071198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Wyposażenie apteczki wg normy DIN 13164.</w:t>
      </w:r>
    </w:p>
    <w:p w:rsidR="00711982" w:rsidRPr="00360E1B" w:rsidRDefault="00711982" w:rsidP="00711982">
      <w:pPr>
        <w:spacing w:before="180" w:after="180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Skład wyposażenia apteczki: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Opatrunek indywidualny G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2 szt. - Opatrunek indywidualny 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Opatrunek indywidualny K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kpl. - Zestaw plastrów (14szt.)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Przylepiec 5m x 2,5cm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2 szt. - Opaska elastyczna 4m x 6cm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3 szt. - Opaska elastyczna 4m x 8cm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Chusta opatrunkowa 40 x 60cm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Chusta opatrunkowa 60 x 80cm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3 szt. - Kompres 10x10cm (pak po 2szt.)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2 szt. - Chusta trójkątna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Nożyczki 14,5cm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4 szt. - Rękawice winylowe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Koc ratunkowy 160 x 210cm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2 szt. - Chusteczka nasączona</w:t>
      </w:r>
    </w:p>
    <w:p w:rsidR="00711982" w:rsidRPr="00360E1B" w:rsidRDefault="00711982" w:rsidP="0071198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360E1B">
        <w:rPr>
          <w:rFonts w:ascii="Arial" w:hAnsi="Arial" w:cs="Arial"/>
        </w:rPr>
        <w:t>1 szt. - Instrukcja udzielania pierwszej pomocy z wykazem telefonów alarmowych.</w:t>
      </w:r>
    </w:p>
    <w:p w:rsidR="00711982" w:rsidRPr="00360E1B" w:rsidRDefault="00711982" w:rsidP="00220FD9">
      <w:pPr>
        <w:rPr>
          <w:rFonts w:ascii="Arial" w:hAnsi="Arial" w:cs="Arial"/>
        </w:rPr>
      </w:pPr>
    </w:p>
    <w:sectPr w:rsidR="00711982" w:rsidRPr="00360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CB8" w:rsidRDefault="00DC6CB8" w:rsidP="00220FD9">
      <w:pPr>
        <w:spacing w:after="0" w:line="240" w:lineRule="auto"/>
      </w:pPr>
      <w:r>
        <w:separator/>
      </w:r>
    </w:p>
  </w:endnote>
  <w:endnote w:type="continuationSeparator" w:id="0">
    <w:p w:rsidR="00DC6CB8" w:rsidRDefault="00DC6CB8" w:rsidP="00220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CB8" w:rsidRDefault="00DC6CB8" w:rsidP="00220FD9">
      <w:pPr>
        <w:spacing w:after="0" w:line="240" w:lineRule="auto"/>
      </w:pPr>
      <w:r>
        <w:separator/>
      </w:r>
    </w:p>
  </w:footnote>
  <w:footnote w:type="continuationSeparator" w:id="0">
    <w:p w:rsidR="00DC6CB8" w:rsidRDefault="00DC6CB8" w:rsidP="00220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904CB"/>
    <w:multiLevelType w:val="multilevel"/>
    <w:tmpl w:val="F88A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BC5DB6"/>
    <w:multiLevelType w:val="hybridMultilevel"/>
    <w:tmpl w:val="741CB248"/>
    <w:lvl w:ilvl="0" w:tplc="0415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B76F0"/>
    <w:multiLevelType w:val="hybridMultilevel"/>
    <w:tmpl w:val="741CB248"/>
    <w:lvl w:ilvl="0" w:tplc="0415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524055"/>
    <w:multiLevelType w:val="hybridMultilevel"/>
    <w:tmpl w:val="5E88F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A39CC"/>
    <w:multiLevelType w:val="hybridMultilevel"/>
    <w:tmpl w:val="25686D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0A14A5"/>
    <w:multiLevelType w:val="multilevel"/>
    <w:tmpl w:val="6F60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580323"/>
    <w:multiLevelType w:val="hybridMultilevel"/>
    <w:tmpl w:val="741CB248"/>
    <w:lvl w:ilvl="0" w:tplc="04150017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5D2E30"/>
    <w:multiLevelType w:val="hybridMultilevel"/>
    <w:tmpl w:val="4C441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36071"/>
    <w:multiLevelType w:val="hybridMultilevel"/>
    <w:tmpl w:val="4E046412"/>
    <w:lvl w:ilvl="0" w:tplc="02CA4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45"/>
    <w:rsid w:val="00051694"/>
    <w:rsid w:val="0010260C"/>
    <w:rsid w:val="00133047"/>
    <w:rsid w:val="001856BF"/>
    <w:rsid w:val="00195A27"/>
    <w:rsid w:val="00220FD9"/>
    <w:rsid w:val="00223494"/>
    <w:rsid w:val="00244486"/>
    <w:rsid w:val="00267849"/>
    <w:rsid w:val="002A23EB"/>
    <w:rsid w:val="002A59CF"/>
    <w:rsid w:val="002D21CD"/>
    <w:rsid w:val="002F3E38"/>
    <w:rsid w:val="00310102"/>
    <w:rsid w:val="00327471"/>
    <w:rsid w:val="003500EE"/>
    <w:rsid w:val="00360E1B"/>
    <w:rsid w:val="003A0C7F"/>
    <w:rsid w:val="00422945"/>
    <w:rsid w:val="004315A4"/>
    <w:rsid w:val="004441B1"/>
    <w:rsid w:val="004F3986"/>
    <w:rsid w:val="005330A8"/>
    <w:rsid w:val="005E64AD"/>
    <w:rsid w:val="006648A2"/>
    <w:rsid w:val="006B3889"/>
    <w:rsid w:val="006F3E71"/>
    <w:rsid w:val="00711982"/>
    <w:rsid w:val="00731A4E"/>
    <w:rsid w:val="00780FEA"/>
    <w:rsid w:val="0079479D"/>
    <w:rsid w:val="007A317A"/>
    <w:rsid w:val="007B5AAE"/>
    <w:rsid w:val="007C2BAB"/>
    <w:rsid w:val="00885FCB"/>
    <w:rsid w:val="008C7BB8"/>
    <w:rsid w:val="00901309"/>
    <w:rsid w:val="0098391E"/>
    <w:rsid w:val="009E26E9"/>
    <w:rsid w:val="00A054A8"/>
    <w:rsid w:val="00A65910"/>
    <w:rsid w:val="00B03F61"/>
    <w:rsid w:val="00B12FE3"/>
    <w:rsid w:val="00B3628D"/>
    <w:rsid w:val="00BC684C"/>
    <w:rsid w:val="00C128FE"/>
    <w:rsid w:val="00C14C96"/>
    <w:rsid w:val="00C35A48"/>
    <w:rsid w:val="00C65587"/>
    <w:rsid w:val="00C77653"/>
    <w:rsid w:val="00D21A51"/>
    <w:rsid w:val="00D60B6A"/>
    <w:rsid w:val="00D81D3D"/>
    <w:rsid w:val="00DC6CB8"/>
    <w:rsid w:val="00E30EF4"/>
    <w:rsid w:val="00E40735"/>
    <w:rsid w:val="00F1209A"/>
    <w:rsid w:val="00F207AE"/>
    <w:rsid w:val="00F3092C"/>
    <w:rsid w:val="00F56D3C"/>
    <w:rsid w:val="00F7222E"/>
    <w:rsid w:val="00FC79D9"/>
    <w:rsid w:val="00FE6E13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68CAB9"/>
  <w15:chartTrackingRefBased/>
  <w15:docId w15:val="{559432AC-6E8F-40A6-AB35-A70D2618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0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FD9"/>
  </w:style>
  <w:style w:type="paragraph" w:styleId="Stopka">
    <w:name w:val="footer"/>
    <w:basedOn w:val="Normalny"/>
    <w:link w:val="StopkaZnak"/>
    <w:uiPriority w:val="99"/>
    <w:unhideWhenUsed/>
    <w:rsid w:val="00220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0FD9"/>
  </w:style>
  <w:style w:type="paragraph" w:styleId="Tekstpodstawowy">
    <w:name w:val="Body Text"/>
    <w:basedOn w:val="Normalny"/>
    <w:link w:val="TekstpodstawowyZnak"/>
    <w:rsid w:val="002F3E3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F3E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7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3A4F-9EB5-4591-A3D6-57D1A3D07F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2B05C2-FAEE-4217-BBFA-9C403A4C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3</Pages>
  <Words>865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Nogosek Anna</dc:creator>
  <cp:keywords/>
  <dc:description/>
  <cp:lastModifiedBy>Jabłońska Angelika</cp:lastModifiedBy>
  <cp:revision>46</cp:revision>
  <cp:lastPrinted>2022-06-13T10:17:00Z</cp:lastPrinted>
  <dcterms:created xsi:type="dcterms:W3CDTF">2021-03-22T12:37:00Z</dcterms:created>
  <dcterms:modified xsi:type="dcterms:W3CDTF">2022-07-13T11:06:00Z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6c92a8e1-d90e-4db7-9e3c-98498cce9f6a</vt:lpwstr>
  </property>
  <property fmtid="{D5CDD505-2E9C-101B-9397-08002B2CF9AE}" pid="3" name="bjSaver">
    <vt:lpwstr>An1KOX4M3BmyqGG3U6UMeuT3/ntodd/1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